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19 178 vom 16. August 2022</w:t>
      </w:r>
    </w:p>
    <w:p>
      <w:r>
        <w:t>VS Kantonsgericht, 2022-08-16, FR</w:t>
      </w:r>
    </w:p>
    <w:p>
      <w:r>
        <w:rPr>
          <w:b/>
        </w:rPr>
        <w:t xml:space="preserve">Quelle: </w:t>
      </w:r>
      <w:r>
        <w:t>https://mcp.opencaselaw.ch/entscheid/vs_gerichte_S1 19 178</w:t>
      </w:r>
    </w:p>
    <w:p>
      <w:r>
        <w:t>FR: VS_GERICHTE S1 19 178 du 16 août 2022</w:t>
      </w:r>
    </w:p>
    <w:p>
      <w:r>
        <w:t>IT: VS_GERICHTE S1 19 178 del 16 agosto 2022</w:t>
      </w:r>
    </w:p>
    <w:p>
      <w:pPr>
        <w:pStyle w:val="Heading2"/>
      </w:pPr>
      <w:r>
        <w:t>Regeste</w:t>
      </w:r>
    </w:p>
    <w:p>
      <w:r>
        <w:t>S1 19 178 JUGEMENT DU 16 AOÛT 2022 Tribunal cantonal du Valais Cour des assurances sociales Composition : Candido Prada, président ; Jean-Bernard Fournier et Christophe Joris, juges ; Véronique Largey, greffière en la cause X _________, recourant, représenté par Maître Yannis Sakkas, avocat, 1920 Martigny contre OFFICE CANTONAL AI DU VALAIS, 1950 Sion, intimé (art. 44 LPGA, valeur probante d’une expertise médicale ; art. 16 LPGA, taux d’invalidité ; art. 17 al. 1 et 18 al. 1 LPGA, reclassement professionnel et aide au placement)</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9 septembre 2019, le recours contre les décisions du 4 juillet précédent, reçues le 8 juillet 2019 par le mandataire de l’assuré, a été interjeté dans le délai légal de trente jours prolongé des féries d’été (art. 38 al. 4 let. b et art. 60 LPGA) devant l'instance</w:t>
      </w:r>
    </w:p>
    <w:p>
      <w:r>
        <w:t>- 27 - compétente (art. 56, 57 et 58 LPGA ; art. 69 al. 1 let. a LAI et art. 81a al. 1 LPJA). Il répond par ailleurs aux autres conditions formelles de recevabilité (art. 61 let. b LPGA), de sorte que la Cour doit entrer en matière. 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des décisions litigieuses rendues avant le 1er janvier 2022 (ATF 144 V 210 consid. 4.3.1 et 138 V 176 consid. 7.1, arrêt du Tribunal fédéral 9C_881/2018 du 6 mars 2019 consid. 4.1). 2.1.1 Le présent litige porte tout d’abord sur la question de savoir si c’est à juste titre que l’Office AI a, par la décision correspondante du 4 juillet 2019, nié le droit de l’assuré à une rente d’invalidité, en se fondant sur le rapport d’expertise du 12 mars 2019 (pièces 204 et 205) et les diverses appréciations de son service médical, plus particulièrement celles des 26 juin 2017 (pièce 163) et 4 avril 2019 (pièce 211). L’article 7 alinéa 1 LPGA prévoit qu’est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 teneur de l’alinéa 2 de cette disposition, seules les conséquences de l’atteinte à la santé sont prises en compte pour juger de la présence d’une incapacité de gain. De plus, il n’y a incapacité de gain que si celle-ci n’est pas objectivement surmontable. Si l’assureur doit recourir aux services d’un expert indépendant pour élucider les faits, il donne connaissance du nom de celui-ci aux parties. Celles-ci peuvent récuser l’expert pour des raisons pertinentes et présenter des contre-propositions (art. 44 LPGA, dans sa teneur jusqu’au 31 décembre 2021). Les exigences jurisprudentielles qu’un rapport médical ou une expertise doivent remplir afin de revêtir pleine valeur probante ont déjà été rappelées dans le mémoire de recours. Il convient ainsi de s’y référer, en ajoutant ce qui suit. Dans son arrêt 9C_492/2014 du 3 juin 2015 paru aux ATF 141 V 281, le Tribunal fédéral a fixé de nouvelles exigences d’instruction pour les atteintes psychosomatiques. La présomption qui prévalait jusqu’alors, selon laquelle ces atteintes pouvaient être</w:t>
      </w:r>
    </w:p>
    <w:p>
      <w:r>
        <w:t>- 28 - surmontées en règle générale par un effort de volonté raisonnablement exigible, a été abandonnée. Désormais, la capacité de travail réellement exigible de la personne concernée doit être évaluée, sur la base des circonstances du cas particulier et sans résultat prédéfini, dans le cadre d’une procédure d’établissement des faits structurée au moyen d’un catalogue d’indicateurs relevant de deux catégories, celle du degré de gravité fonctionnelle de l’atteinte à la santé et celle de la cohérence du point de vue du comportement de la personne assurée. Tel que jugé dans les arrêts 8C_841/2016 du 30 novembre 2017 paru aux ATF 143 V 409 et 8C_130/2017 du 30 novembre 2017 paru aux ATF 143 V 418, l’application de cette procédure probatoire structurée a été étendue aux cas de troubles dépressifs de degré léger à moyen, respectivement à toutes les affections psychiques. De plus, la présence d’une exagération ne conduit pas automatiquement à nier une atteinte à la santé assurée, ou alors seulement lorsque la limitation d’activité résulte de l’exagération ou que ses suites ne peuvent pas être constatées avec une probabilité suffisante. Il a été relevé au considérant 7.1 de l’ATF 143 V 418 que des indices d’incohérence, d’exagération ou de simulation ne constituaient pas toujours des motifs d’exclusion mais appelaient en tout cas un examen approfondi du degré de gravité fonctionnel de l’affection psychique établie médicalement (arrêt du Tribunal fédéral 8C_2/2022 du 4 juillet 2022 consid. 6.1 et les références). Le temps consacré pour un entretien d’expertise n’est pas un critère permettant en soi de juger de la valeur probante d’un rapport médical mais dépend bien plutôt des questions à résoudre et du tableau clinique (arrêts du Tribunal fédéral 8C_41/2019 du 9 mai 2019 consid. 6 paru in SVR 2019 IV Nr. 85, 9C_28/2012 du 20 juin 2012 consid. 4.1, 9C_170/2009 du 6 mai 2009 consid. 2.2 et 9C_382/2008 du 22 juillet 2008 consid. 2 et l’arrêt cité ; arrêt du Tribunal fédéral 9C_747/2011 du 10 février 2012 consid. 2.2.2 qui cite l’arrêt I 1094/06 du 14 novembre 2007 consid. 3.1.1 à teneur duquel, selon la nature de la question à résoudre, même une expertise sur pièce peut apporter la preuve nécessaire ; arrêt du Tribunal fédéral des assurances I 954/05 du 24 mai 2006 consid. 3.2.1). La durée, prétendument trop courte selon l’assuré, de l’examen clinique auquel les experts ont procédé ne saurait remettre en question la valeur probante de leur rapport d’expertise. En effet, le rôle d’un expert consiste notamment à se faire une idée sur l’état de santé de l’assuré dans un délai relativement bref (arrêts du Tribunal fédéral 9C_136/2017 du 21 août 2017 consid. 7.2 et les références et 9C_157/2016 du 4 août 2016 consid. 4.1 et les références). Ce n’est pas la durée de l’examen d’expertise qui est importante ; ce qui est déterminant en premier lieu, c’est d’établir si le contenu de l’expertise est complet et si ses conclusions sont</w:t>
      </w:r>
    </w:p>
    <w:p>
      <w:r>
        <w:t>- 29 - probantes (arrêt du Tribunal fédéral 8C_771/2019 du 19 mai 2020 consid. 4.4 paru in SVR 2021 UV Nr. 2). En pratique, c’est l’examen clinique en connaissance de l’anamnèse qui est déterminant dans le cadre d’une expertise psychiatrique. Une anamnèse externe et des renseignements (écrits ou oraux) des médecins traitants sont souvent souhaitables mais pas forcément nécessaires (arrêt du Tribunal fédéral 9C_292/2018 du 15 janvier 2019 consid. 5.2.2.1 paru in SVR 2019 IV Nr. 41). L’expert jouit d’une large autonomie dans la manière de conduire son expertise (arrêts du Tribunal fédéral 8C_562/2014 du 29 septembre 2015 consid. 7 et 9C_91/2015 du 3 septembre 2015 consid. 4.3).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Il ne s’agit pas ici de remettre en question la pertinence d’une mesure médicale en requérant une seconde appréciation mais bien de décider quelles démarches doivent être entreprises afin d’établir les faits déterminants au degré de preuve exigé. La nécessité d’administrer une nouvelle expertise résulte de la question de savoir si celle qui se trouve déjà au dossier remplit les exigences de forme et de fond posées pour la valeur probante d’une expertise médicale (arrêt du Tribunal fédéral U 571/06 du 29 mai 2007 consid. 4.2 et les références). 2.1.2.1 Tel que rappelé à bon escient dans la réponse au recours, les échanges intervenus sur la période du 26 juin 2017 au 3 décembre 2018 entre l’Office AI et le SMR (pièces 163 et 178), entre cet office et l’assuré (pièces 179, 180, 187, 191 et 200) ainsi qu’entre dit office et les experts du P _________ (pièces 181 et 183) mettent en exergue les éléments suivants : de l’avis du recourant comme de l’intimé, le rapport d’expertise du 9 juin 2017 (pièce 161) manquait de rigueur et n’était pas probant ; des questions complémentaires devaient être posées aux experts ; les réponses données par ceux-ci n’étaient pas satisfaisantes ; une nouvelle expertise, pluridisciplinaire selon la requête formulée par l’assuré en date du 15 mai 2018 (pièce 191), devait être diligentée. La version des faits exposée dans le mémoire de recours en relation avec la période susmentionnée n’est dès lors pas conforme à la réalité. Il apparaît ainsi malvenu de la part du recourant de motiver désormais son point de vue sur la base du volet psychiatrique du rapport d’expertise du P _________ (pièce 161), auquel il a pourtant dénié toute valeur probante dans sa contestation du 2 octobre 2017.</w:t>
      </w:r>
    </w:p>
    <w:p>
      <w:r>
        <w:t>- 30 - La Cour rejoint par ailleurs les considérations respectives du SMR dans la prise de position du 4 avril 2019 (pièce 211) et surtout de l’intimé dans la réponse du 21 janvier 2020, tant au sujet de la pleine force probante du rapport d’expertise de la Q _________ du 12 mars 2019 (pièces 204 et 205) que de l’analyse soignée des indicateurs jurisprudentiels topiques à laquelle les experts de la Q _________ ont procédé dans ce rapport. Dans ladite écriture, l’intimé a rappelé la jurisprudence exposée ci-dessus concernant le caractère non pertinent de la durée d’un examen d’expertise pour l’évaluation de la valeur probante du rapport correspondant. A cet égard, il semble tout de même surprenant que, d’après les assertions du recourant dans son mémoire du 9 septembre 2019 et son courrier du 16 septembre suivant, puis de l’épouse de celui-ci dans l’attestation du 15 octobre 2019, trois experts de la Q _________ sur quatre aient livré des informations erronées sur les heures de début et de fin de leurs examens d’expertise respectifs. Contrairement à ce qu’a prétendu l’assuré dans le courrier précité, le fait qu’il ait reçu un appel de sa fille sur son téléphone portable le 6 février 2019 à quinze heures trente-huit ne prouve nullement que l’examen auprès de l’expert- rhumatologue était déjà terminé à cette heure-là et qu’il s’était tenu de quinze heures cinq à quinze heures trente et non de quinze à seize heures. L’assuré a très bien pu répondre à ce téléphone pendant l’entretien en question et dire que celui-ci était encore en cours. A noter au passage qu’un autre appel en provenance du même numéro, le</w:t>
      </w:r>
    </w:p>
    <w:p>
      <w:r>
        <w:rPr>
          <w:b/>
        </w:rPr>
        <w:t>E. 6</w:t>
      </w:r>
    </w:p>
    <w:p>
      <w:r>
        <w:t>février 2019 à quinze heures cinquante-deux, n’a duré que dix-neuf secondes. La critique du recourant sur le fait que le spécialiste en psychiatrie de la Q _________ n’aurait posé aucune question sur l’enfance, le parcours et les souffrances de l’expertisé ne manque pas non plus d’étonner, puisque ces différents éléments figurent sous la rubrique « entretien » du rapport de ce spécialiste (pièce 205, pages 873 et 874). Conformément aux arrêts précités 8C_562/2014, 9C_91/2015 et 9C_292/2018 et aux considérations y relatives de l’intimé dans sa réponse au recours, les informations récoltées lors de cet entretien puis sur la base des propres constatations de l’expert- psychiatre, ajoutées à celles figurant dans l’anamnèse établie par l’expert en médecine interne et surtout dans le rapport d’expertise du P _________ ainsi que dans le compte- rendu du R _________, ont suffi audit spécialiste, qui jouissait d’une large autonomie dans la manière de conduire son expertise, pour apprécier la situation de l’assuré de manière complète, cohérente et motivée puis répondre à satisfaction de droit aux questions posées. Sous l’angle psychiatrique, les experts du P _________ ont fait état de troubles de l’adaptation avec réaction mixte anxieuse et dépressive (F43.2), de troubles dissociatifs (de conversion), sans précision (F44.2, F44.9) et de troubles de somatisation (F45.0), avec pour résultat un syndrome somatoforme douloureux</w:t>
      </w:r>
    </w:p>
    <w:p>
      <w:r>
        <w:t>- 31 - persistant (F45.4) (pièce 161, pages 725, 729 et 731). Selon un rapport du R _________ du 5 octobre 2018 dont l’expert-psychiatre de la Q _________ a pris connaissance, un psychologue de ce centre avait indiqué ne pas pouvoir exclure un trouble somatoforme (pièce 205, pages 855 et 874). C’est également ce diagnostic de trouble douloureux somatoforme persistant (F45.4) qui a été retenu par les experts de la Q _________ (pièce 204, page 843 et pièce 205, page 875). Contrairement à ce qui a été invoqué dans le recours du 9 septembre 2019, ces derniers experts ne se sont donc guère écartés des diagnostics mentionnés dans les rapports du P _________ et du R _________. Dans leur évaluation consensuelle, ils ont exposé les raisons pour lesquelles ils avaient privilégié ledit diagnostic à celui de majoration de symptômes pour des raisons psychologiques (F68.0) (pièce 204, pages 842 et 843). Tel que pertinemment expliqué par l’intimé dans sa réponse du 21 janvier 2020, les experts de la Q _________ ont également motivé le caractère non incapacitant des deux diagnostics posés, à savoir des lombalgies chroniques non spécifiques (M54.5) et un trouble somatoforme douloureux persistant (F45.4) (pièce 204, page 843), au moyen de l’analyse des indicateurs jurisprudentiels propres à évaluer la capacité de travail réellement exigible de la personne concernée (pièce 204, pages 841 à 844). Contrairement à l’allégation correspondante du recourant dans son mémoire du</w:t>
      </w:r>
    </w:p>
    <w:p>
      <w:r>
        <w:rPr>
          <w:b/>
        </w:rPr>
        <w:t>E. 9</w:t>
      </w:r>
    </w:p>
    <w:p>
      <w:r>
        <w:t>septembre 2019 par le recourant dans ce contexte, aux termes de laquelle même l’intimé ne rejoignait pas les conclusions des experts précités concernant l’absence de limitations entraînées par les atteintes à la santé, puisqu’il avait énuméré de nombreuses limitations fonctionnelles dans la décision y relative. A suivre l’avis émis le 26 juin 2017 par le médecin du SMR, les restrictions en question ne correspondent en réalité qu’à l’alternance des positions et à l’exclusion du port de charges de plus de dix kilos ainsi que des travaux lourds et répétitifs en position non physiologique du dos (pièce 163). 2.2.1 Selon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décision querellée de refus d’une rente d’invalidité expose déjà les développements jurisprudentiels relatifs à la détermination du revenu d’invalide prévu par l’article 16 LPGA, à savoir le recours au salaire topique de l’Enquête suisse sur la structure des salaires (ESS) éditée par l’Office fédéral de la statistique (OFS) lorsque depuis la survenance de l’atteinte à la santé, la personne assurée n’exerce pas d’activité exigible (ATF 135 V 297 consid. 5.2 et les références, 129 V 472 consid. 4.2.1, 126 V 75 consid. 3b/aa, 124 V 321 consid. 3b/aa et 117 V 8 consid. 2c/aa, arrêt du Tribunal fédéral des assurances U 196/02 du 23 janvier 2003 consid. 4.3). Il convient de citer également les jurisprudences traitant des facteurs de réduction – non automatique et de 25% au maximum – du salaire statistique (ATF 129 V 472 consid. 4.2.1 et 4.2.3, 126 V 75 consid. 3 et 5 et 124 V 321 consid. 3b/aa, arrêt du Tribunal fédéral 9C_481/2017 du 1er décembre 2017 consid. 5.2, arrêt du Tribunal fédéral des assurances I 724/02 précité consid. 4.2.1) et du caractère exceptionnel d’une déduction maximale de 25% (arrêt du Tribunal fédéral 9C_418/2008 du 17 septembre 2008 consid. 3.3.2). Toujours selon la jurisprudence, le simple fait que seuls des travaux légers soient exigibles ne constitue pas un motif pour une déduction supplémentaire en raison du handicap, étant donné que le salaire statistique du niveau de compétences 1 applicable en l’espèce comporte déjà un large</w:t>
      </w:r>
    </w:p>
    <w:p>
      <w:r>
        <w:t>- 40 - éventail d’activités légères (arrêt du Tribunal fédéral 8C_799/2021 du 3 mars 2022 consid. 4.3.2 paru in SVR 2022 IV Nr. 30). Il en va de même concernant les connaissances limitées d’une langue nationale lorsque, comme en l’occurrence, il est tablé sur le salaire statistique moyen pour des activités simples et répétitives de niveau de compétences 1 (arrêt précité 8C_799/2021 consid. 4.3.3). En ce qui concerne la fixation du revenu sans invalidité, est déterminant le salaire que la personne assurée aurait, au degré de la vraisemblance prépondérante, effectivement gagné en tant que valide au début du droit à la rente au plus tôt. Ce revenu doit être déterminé aussi concrètement que possible. C’est en principe le dernier revenu touché, au besoin adapté au renchérissement et à l’évolution réelle des salaires, qui doit être retenu car c’est un fait d’expérience que, sans atteinte à la santé, l’activité antérieure aurait été poursuivie. Les exceptions à ce principe sont à établir au degré de la vraisemblance prépondérante (ATF 134 V 322 consid. 4.1 et 129 V 222 consid. 4.3.1, arrêts du Tribunal fédéral 8C_572/2021 du 19 janvier 2022 consid. 3.1 et 9C_413/2017 du 19 septembre 2017 consid. 3.2.1 et les références). Enfin, lors de l’adaptation à l’évolution des salaires en vue de la fixation des revenus avec et sans invalidité, il convient de différencier en fonction du sexe (arrêt du Tribunal fédéral 8C_72/2019 du 11 juin 2019 consid. 4.1 paru in SVR 2019 IV Nr. 88). 2.2.2 Dans son rapport du 15 janvier 2003, le médecin d’arrondissement de la CNA a conclu qu’une reprise du travail à 100% était exigible à partir du 15 janvier 2003 (pièce 224, pages 996 à 998). C’est à compter de cette dernière date que la CNA a mis fin aux prestations dans sa décision du 21 janvier 2003 (pièce 224, pages 991 et 992) et que l’assuré a requis des indemnités de chômage en lien avec une activité à plein temps (pièce 225, pages 1104 à 1107). Dans les rapports des 25 février 2013 (pièce 59) et 26 juin 2017 (pièce 163), le médecin du SMR a également estimé que la capacité de travail était pleine et entière dans une activité légère et adaptée dès le 15 janvier 2003, à l’instar d’ailleurs des experts du P _________ (pièce 161, page 733). C’est ainsi à juste titre que dans la décision attaquée de refus d’une rente d’invalidité, l’Office AI a déterminé les revenus de comparaison au sens de l’article 16 LPGA pour l’année 2003. L’argumentation développée dans le recours à l’appui d’un abattement de 25% du revenu d’invalide a été pertinemment réfutée dans la réponse à ce recours, compte tenu plus particulièrement des éléments jurisprudentiels exposés ci-dessus. Il a été retenu plus haut que la capacité de travail du recourant est, à tout le moins théoriquement, entière même dans l’activité antérieure plus lourde et qu’une activité légère et adaptée,</w:t>
      </w:r>
    </w:p>
    <w:p>
      <w:r>
        <w:t>- 41 - aussi exigible à pleins temps et rendement, ne comporte que des limitations fonctionnelles classiques d’épargne lombaire. A la date de cette exigibilité totale, soit au 15 janvier 2003, l’assuré était dans sa trentième année (pièce 8). Il avait été engagé pour une durée déterminée, du 8 avril au 20 décembre 2002, par son ex-employeur et travaillait ainsi depuis moins d’un mois lorsqu’il a été victime de l’accident du 6 mai 2002 (pièce 224, pages 1035 et 1039 et pièce 225, page 1121). Originaire du Kosovo, il est arrivé en Suisse le 24 mars 2002 (pièce 8) et a acquis la nationalité suisse le 17 décembre 2010 (pièces 52 et 53, page 171). Parmi les ressources de l’assuré, les experts de la Q _________ ont relevé la bonne connaissance de la langue française (pièce 204, page 843). A la lumière de la jurisprudence topique, ni l’exigibilité de travaux légers uniquement ni le manque de connaissances linguistiques ne constituent des motifs de déduction pour cause de handicap en relation avec une activité adaptée du niveau de compétences le plus bas. Il n’est pas inutile de relever dans ce contexte que les études menées à bien par l’assuré au Kosovo équivalent à un diplôme d’école de commerce en Suisse (pièce 6, page 8). Celui-ci serait donc en mesure d’exercer une telle activité non seulement dans le domaine de l’industrie légère, mais également dans le secteur tertiaire. Il s’ensuit qu’aucun facteur d’abattement du salaire statistique déterminant n’est rempli en l’occurrence. Celui de 10% néanmoins appliqué par l’Office AI tant dans les précédentes décisions des 21 septembre 2005 (pièce 24) et</w:t>
      </w:r>
    </w:p>
    <w:p>
      <w:r>
        <w:rPr>
          <w:b/>
        </w:rPr>
        <w:t>E. 10</w:t>
      </w:r>
    </w:p>
    <w:p>
      <w:r>
        <w:t>juillet 2013 (pièce 65). Quant aux déclarations faites par l’assuré dans sa contestation du 2 octobre 2017 puis son recours du 9 septembre 2019 concernant sa disponibilité à entreprendre une réadaptation professionnelle, elles sont tout de même sujettes à caution en regard des développements susmentionnés relatifs à l’indicateur de la résistance à toute mesure de</w:t>
      </w:r>
    </w:p>
    <w:p>
      <w:r>
        <w:t>- 44 - réadaptation. La condition subjective posée pour la mise en œuvre d’une telle mesure semble ainsi faire défaut en l’occurrence. Il n’y a d’autre part rien à ajouter à l’exigence, mentionnée dans la décision querellée de refus de mesures d’ordre professionnel, d’une incapacité de travail dans une activité adaptée pour l’obtention d’une aide au placement, ce qui n’est pas le cas en l’espèce comme retenu précédemment. L’assuré a d’ailleurs estimé cette aide inutile dans ses courriers adressés les 4 et 30 septembre 2013 à l’Office AI (pièce 74). En conséquence, la décision du 4 juillet 2019 portant sur le refus de mesures d’ordre professionnel se révèle également correcte. 4. Au vu de ce qui précède, le recours est rejeté et les deux décisions prononcées le 4 juillet 2019 par l’Office AI sont confirmées, sans qu’il soit nécessaire d’administrer les preuves offertes par le recourant dans son mémoire du 9 septembre 2019. Celui-ci n’a notamment pas droit à un nouvel avis expertal sur sa situation déjà établie de manière probante par les experts de la Q _________ (pièces 204 et 205), au seul motif que les conclusions de ces experts ne lui conviennent pas. Quant aux pièces du cas d’accident et de la procédure judiciaire S1 13 146, elles figurent déjà au dossier d’assurance-invalidité. Les auditions de l’épouse du recourant et de l’expert-psychiatre de la Q _________ se révèlent également inutiles, ce d’autant plus que celle-ci a rédigé une attestation que le recourant a transmise céans le 24 octobre 2019. Au sujet du principe de l’appréciation anticipée des preuves dont il est fait application ici, il est notamment renvoyé aux arrêts du Tribunal fédéral 8C_172/2012 du 14 mars 2013 consid. 3 et les références, 9C_962/2010 du 1er septembre 2011 consid. 4.1 et 9C_966/2010 du 29 avril 2011 consid. 2.2. 5.1 Les frais de justice, arrêtés à 800 fr. en fonction de l’importance de la procédure et de la contestation des deux décisions du 4 juillet 2019 (art. 61 let. a aLPGA, 83 LPGA et 69 al. 1bis LAI), sont mis à la charge du recourant qui succombe (art. 1 al. 2, 81a al. 2 et 89 al. 1 LPJA) et compensés avec l’avance du même montant qu’il a versée le 27 décembre 2019. 5.2 Eu égard à l'issue de la cause, il n'est pas alloué de dépens au recourant (art. 61 let. g LPGA a contrario), pas plus qu’à l’intimé (art. 91 al. 3 LPJA).</w:t>
      </w:r>
    </w:p>
    <w:p>
      <w:r>
        <w:t>- 45 - Prononce</w:t>
      </w:r>
    </w:p>
    <w:p>
      <w:r>
        <w:t>1. Le recours est rejeté. 2. Les frais, par 800 francs, sont mis à la charge de X _________. 3. Il n’est pas alloué de dépens.</w:t>
      </w:r>
    </w:p>
    <w:p>
      <w:r>
        <w:t>Sion, le 16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